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pPr>
    </w:p>
    <w:p>
      <w:pPr>
        <w:spacing w:after="80" w:before="0"/>
        <w:jc w:val="center"/>
      </w:pPr>
      <w:r>
        <w:rPr>
          <w:rFonts w:ascii="Arial" w:cs="Arial" w:eastAsia="Arial" w:hAnsi="Arial"/>
          <w:b/>
          <w:bCs/>
          <w:color w:val="0D1628"/>
          <w:sz w:val="52"/>
          <w:szCs w:val="52"/>
        </w:rPr>
        <w:t xml:space="preserve">THEFUNDINGTRUTH.COM</w:t>
      </w:r>
    </w:p>
    <w:p>
      <w:pPr>
        <w:spacing w:after="80" w:before="0"/>
        <w:jc w:val="center"/>
      </w:pPr>
      <w:r>
        <w:rPr>
          <w:rFonts w:ascii="Arial" w:cs="Arial" w:eastAsia="Arial" w:hAnsi="Arial"/>
          <w:i/>
          <w:iCs/>
          <w:color w:val="C9A843"/>
          <w:sz w:val="24"/>
          <w:szCs w:val="24"/>
        </w:rPr>
        <w:t xml:space="preserve">Know Before You Owe™</w:t>
      </w:r>
    </w:p>
    <w:p>
      <w:pPr>
        <w:pBdr>
          <w:bottom w:val="single" w:color="C9A843" w:sz="4"/>
        </w:pBdr>
        <w:spacing w:after="180" w:before="180"/>
      </w:pPr>
    </w:p>
    <w:p>
      <w:pPr>
        <w:spacing w:after="0" w:before="80"/>
      </w:pPr>
    </w:p>
    <w:p>
      <w:pPr>
        <w:spacing w:after="80" w:before="0"/>
        <w:jc w:val="center"/>
      </w:pPr>
      <w:r>
        <w:rPr>
          <w:rFonts w:ascii="Arial" w:cs="Arial" w:eastAsia="Arial" w:hAnsi="Arial"/>
          <w:b/>
          <w:bCs/>
          <w:color w:val="0D1628"/>
          <w:sz w:val="36"/>
          <w:szCs w:val="36"/>
        </w:rPr>
        <w:t xml:space="preserve">The Guide They Don’t Want You to See</w:t>
      </w:r>
    </w:p>
    <w:p>
      <w:pPr>
        <w:spacing w:after="60" w:before="0"/>
        <w:jc w:val="center"/>
      </w:pPr>
      <w:r>
        <w:rPr>
          <w:rFonts w:ascii="Arial" w:cs="Arial" w:eastAsia="Arial" w:hAnsi="Arial"/>
          <w:b/>
          <w:bCs/>
          <w:color w:val="C9A843"/>
          <w:sz w:val="24"/>
          <w:szCs w:val="24"/>
        </w:rPr>
        <w:t xml:space="preserve">18 Funding Products. Real Costs. The Lies They Tell.</w:t>
      </w:r>
    </w:p>
    <w:p>
      <w:pPr>
        <w:spacing w:after="60" w:before="0"/>
        <w:jc w:val="center"/>
      </w:pPr>
      <w:r>
        <w:rPr>
          <w:rFonts w:ascii="Arial" w:cs="Arial" w:eastAsia="Arial" w:hAnsi="Arial"/>
          <w:i/>
          <w:iCs/>
          <w:color w:val="666666"/>
          <w:sz w:val="22"/>
          <w:szCs w:val="22"/>
        </w:rPr>
        <w:t xml:space="preserve">The Questions They Hope You Never Ask.</w:t>
      </w:r>
    </w:p>
    <w:p>
      <w:pPr>
        <w:spacing w:after="0" w:before="120"/>
      </w:pPr>
    </w:p>
    <w:p>
      <w:pPr>
        <w:spacing w:after="60" w:before="0"/>
        <w:jc w:val="center"/>
      </w:pPr>
      <w:r>
        <w:rPr>
          <w:rFonts w:ascii="Arial" w:cs="Arial" w:eastAsia="Arial" w:hAnsi="Arial"/>
          <w:color w:val="666666"/>
          <w:sz w:val="20"/>
          <w:szCs w:val="20"/>
        </w:rPr>
        <w:t xml:space="preserve">Written by Bill Johnson, Retired CFP Professional</w:t>
      </w:r>
    </w:p>
    <w:p>
      <w:pPr>
        <w:spacing w:after="60" w:before="0"/>
        <w:jc w:val="center"/>
      </w:pPr>
      <w:r>
        <w:rPr>
          <w:rFonts w:ascii="Arial" w:cs="Arial" w:eastAsia="Arial" w:hAnsi="Arial"/>
          <w:color w:val="666666"/>
          <w:sz w:val="18"/>
          <w:szCs w:val="18"/>
        </w:rPr>
        <w:t xml:space="preserve">35 Years Business Finance Experience</w:t>
      </w:r>
    </w:p>
    <w:p>
      <w:pPr>
        <w:spacing w:after="0" w:before="0"/>
        <w:jc w:val="center"/>
      </w:pPr>
      <w:r>
        <w:rPr>
          <w:rFonts w:ascii="Arial" w:cs="Arial" w:eastAsia="Arial" w:hAnsi="Arial"/>
          <w:color w:val="666666"/>
          <w:sz w:val="18"/>
          <w:szCs w:val="18"/>
        </w:rPr>
        <w:t xml:space="preserve">TheFundingTruth.com  ·  +1 (856) 296-9600  ·  admin@thefundingtruth.com</w:t>
      </w:r>
    </w:p>
    <w:p>
      <w:pPr>
        <w:pageBreakBefore/>
        <w:spacing w:after="80" w:before="0"/>
      </w:pPr>
      <w:r>
        <w:rPr>
          <w:rFonts w:ascii="Arial" w:cs="Arial" w:eastAsia="Arial" w:hAnsi="Arial"/>
          <w:b/>
          <w:bCs/>
          <w:color w:val="C9A843"/>
          <w:sz w:val="18"/>
          <w:szCs w:val="18"/>
        </w:rPr>
        <w:t xml:space="preserve">A NOTE FROM BILL</w:t>
      </w:r>
    </w:p>
    <w:p>
      <w:pPr>
        <w:spacing w:after="80" w:before="0"/>
      </w:pPr>
      <w:r>
        <w:rPr>
          <w:rFonts w:ascii="Arial" w:cs="Arial" w:eastAsia="Arial" w:hAnsi="Arial"/>
          <w:b/>
          <w:bCs/>
          <w:color w:val="0D1628"/>
          <w:sz w:val="32"/>
          <w:szCs w:val="32"/>
        </w:rPr>
        <w:t xml:space="preserve">Why I Wrote This Guide</w:t>
      </w:r>
    </w:p>
    <w:p>
      <w:pPr>
        <w:pBdr>
          <w:bottom w:val="single" w:color="C9A843" w:sz="4"/>
        </w:pBdr>
        <w:spacing w:after="180" w:before="180"/>
      </w:pPr>
    </w:p>
    <w:p>
      <w:pPr>
        <w:spacing w:after="100" w:before="80"/>
        <w:jc w:val="left"/>
      </w:pPr>
      <w:r>
        <w:rPr>
          <w:rFonts w:ascii="Arial" w:cs="Arial" w:eastAsia="Arial" w:hAnsi="Arial"/>
          <w:b w:val="false"/>
          <w:bCs w:val="false"/>
          <w:i w:val="false"/>
          <w:iCs w:val="false"/>
          <w:color w:val="1A1A1A"/>
          <w:sz w:val="22"/>
          <w:szCs w:val="22"/>
        </w:rPr>
        <w:t xml:space="preserve">I spent 35 years as a Certified Financial Planner watching business owners get steered into funding products that were good for the broker's commission and catastrophic for the business. The MCA industry alone has cost American small business owners tens of billions of dollars in unnecessary fees, factor-rate premiums, and daily debits that stripped cash flow before a single expense was paid.</w:t>
      </w:r>
    </w:p>
    <w:p>
      <w:pPr>
        <w:spacing w:after="100" w:before="80"/>
        <w:jc w:val="left"/>
      </w:pPr>
      <w:r>
        <w:rPr>
          <w:rFonts w:ascii="Arial" w:cs="Arial" w:eastAsia="Arial" w:hAnsi="Arial"/>
          <w:b w:val="false"/>
          <w:bCs w:val="false"/>
          <w:i w:val="false"/>
          <w:iCs w:val="false"/>
          <w:color w:val="1A1A1A"/>
          <w:sz w:val="22"/>
          <w:szCs w:val="22"/>
        </w:rPr>
        <w:t xml:space="preserve">Nobody gave these business owners a clear explanation of what they were signing. Nobody showed them the alternatives. Nobody told them what questions to ask. The brokers had every incentive not to.</w:t>
      </w:r>
    </w:p>
    <w:p>
      <w:pPr>
        <w:spacing w:after="100" w:before="80"/>
        <w:jc w:val="left"/>
      </w:pPr>
      <w:r>
        <w:rPr>
          <w:rFonts w:ascii="Arial" w:cs="Arial" w:eastAsia="Arial" w:hAnsi="Arial"/>
          <w:b w:val="false"/>
          <w:bCs w:val="false"/>
          <w:i w:val="false"/>
          <w:iCs w:val="false"/>
          <w:color w:val="1A1A1A"/>
          <w:sz w:val="22"/>
          <w:szCs w:val="22"/>
        </w:rPr>
        <w:t xml:space="preserve">This guide does what no broker wants you to have: a plain-English breakdown of every major funding product available to small businesses, including the real cost, the specific lie most commonly told about each one, and the exact question that reveals what the lender does not want you to know.</w:t>
      </w:r>
    </w:p>
    <w:p>
      <w:pPr>
        <w:spacing w:after="100" w:before="80"/>
        <w:jc w:val="left"/>
      </w:pPr>
      <w:r>
        <w:rPr>
          <w:rFonts w:ascii="Arial" w:cs="Arial" w:eastAsia="Arial" w:hAnsi="Arial"/>
          <w:b w:val="false"/>
          <w:bCs w:val="false"/>
          <w:i w:val="false"/>
          <w:iCs w:val="false"/>
          <w:color w:val="1A1A1A"/>
          <w:sz w:val="22"/>
          <w:szCs w:val="22"/>
        </w:rPr>
        <w:t xml:space="preserve">Read this before you sign anything. Read this before you take a call from a funding broker. Read this before you decide that an MCA is your only option.</w:t>
      </w:r>
    </w:p>
    <w:p>
      <w:pPr>
        <w:spacing w:after="100" w:before="80"/>
        <w:jc w:val="left"/>
      </w:pPr>
      <w:r>
        <w:rPr>
          <w:rFonts w:ascii="Arial" w:cs="Arial" w:eastAsia="Arial" w:hAnsi="Arial"/>
          <w:b/>
          <w:bCs/>
          <w:i w:val="false"/>
          <w:iCs w:val="false"/>
          <w:color w:val="1A1A1A"/>
          <w:sz w:val="22"/>
          <w:szCs w:val="22"/>
        </w:rPr>
        <w:t xml:space="preserve">You have more options than you think. Know Before You Owe.</w:t>
      </w:r>
    </w:p>
    <w:p>
      <w:pPr>
        <w:spacing w:after="0" w:before="80"/>
      </w:pPr>
    </w:p>
    <w:p>
      <w:pPr>
        <w:spacing w:after="100" w:before="80"/>
        <w:jc w:val="left"/>
      </w:pPr>
      <w:r>
        <w:rPr>
          <w:rFonts w:ascii="Arial" w:cs="Arial" w:eastAsia="Arial" w:hAnsi="Arial"/>
          <w:b w:val="false"/>
          <w:bCs w:val="false"/>
          <w:i/>
          <w:iCs/>
          <w:color w:val="666666"/>
          <w:sz w:val="22"/>
          <w:szCs w:val="22"/>
        </w:rPr>
        <w:t xml:space="preserve">— Bill Johnson, Retired CFP Professional</w:t>
      </w:r>
    </w:p>
    <w:p>
      <w:pPr>
        <w:spacing w:after="100" w:before="80"/>
        <w:jc w:val="left"/>
      </w:pPr>
      <w:r>
        <w:rPr>
          <w:rFonts w:ascii="Arial" w:cs="Arial" w:eastAsia="Arial" w:hAnsi="Arial"/>
          <w:b w:val="false"/>
          <w:bCs w:val="false"/>
          <w:i/>
          <w:iCs/>
          <w:color w:val="666666"/>
          <w:sz w:val="22"/>
          <w:szCs w:val="22"/>
        </w:rPr>
        <w:t xml:space="preserve">Founder, TheFundingTruth.com</w:t>
      </w:r>
    </w:p>
    <w:p>
      <w:pPr>
        <w:spacing w:after="0" w:before="200"/>
      </w:pPr>
    </w:p>
    <w:p>
      <w:pPr>
        <w:spacing w:after="100" w:before="280"/>
      </w:pPr>
      <w:r>
        <w:rPr>
          <w:rFonts w:ascii="Arial" w:cs="Arial" w:eastAsia="Arial" w:hAnsi="Arial"/>
          <w:b/>
          <w:bCs/>
          <w:color w:val="0D1628"/>
          <w:sz w:val="28"/>
          <w:szCs w:val="28"/>
        </w:rPr>
        <w:t xml:space="preserve">How to Use This Guide</w:t>
      </w:r>
    </w:p>
    <w:p>
      <w:pPr>
        <w:pBdr>
          <w:bottom w:val="single" w:color="C9A843" w:sz="4"/>
        </w:pBdr>
        <w:spacing w:after="180" w:before="180"/>
      </w:pPr>
    </w:p>
    <w:p>
      <w:pPr>
        <w:spacing w:after="100" w:before="80"/>
        <w:jc w:val="left"/>
      </w:pPr>
      <w:r>
        <w:rPr>
          <w:rFonts w:ascii="Arial" w:cs="Arial" w:eastAsia="Arial" w:hAnsi="Arial"/>
          <w:b w:val="false"/>
          <w:bCs w:val="false"/>
          <w:i w:val="false"/>
          <w:iCs w:val="false"/>
          <w:color w:val="1A1A1A"/>
          <w:sz w:val="22"/>
          <w:szCs w:val="22"/>
        </w:rPr>
        <w:t xml:space="preserve">Each of the 18 products in this guide follows the same six-section format:</w:t>
      </w:r>
    </w:p>
    <w:p>
      <w:pPr>
        <w:spacing w:after="0" w:before="40"/>
      </w:pPr>
    </w:p>
    <w:p>
      <w:pPr>
        <w:pStyle w:val="ListParagraph"/>
        <w:numPr>
          <w:ilvl w:val="0"/>
          <w:numId w:val="2"/>
        </w:numPr>
        <w:spacing w:after="60" w:before="60"/>
      </w:pPr>
      <w:r>
        <w:rPr>
          <w:rFonts w:ascii="Arial" w:cs="Arial" w:eastAsia="Arial" w:hAnsi="Arial"/>
          <w:color w:val="1A1A1A"/>
          <w:sz w:val="22"/>
          <w:szCs w:val="22"/>
        </w:rPr>
        <w:t xml:space="preserve">WHAT IT IS — Plain English explanation of how the product actually works</w:t>
      </w:r>
    </w:p>
    <w:p>
      <w:pPr>
        <w:pStyle w:val="ListParagraph"/>
        <w:numPr>
          <w:ilvl w:val="0"/>
          <w:numId w:val="2"/>
        </w:numPr>
        <w:spacing w:after="60" w:before="60"/>
      </w:pPr>
      <w:r>
        <w:rPr>
          <w:rFonts w:ascii="Arial" w:cs="Arial" w:eastAsia="Arial" w:hAnsi="Arial"/>
          <w:color w:val="1A1A1A"/>
          <w:sz w:val="22"/>
          <w:szCs w:val="22"/>
        </w:rPr>
        <w:t xml:space="preserve">BEST FOR — The specific business situation where this product makes genuine sense</w:t>
      </w:r>
    </w:p>
    <w:p>
      <w:pPr>
        <w:pStyle w:val="ListParagraph"/>
        <w:numPr>
          <w:ilvl w:val="0"/>
          <w:numId w:val="2"/>
        </w:numPr>
        <w:spacing w:after="60" w:before="60"/>
      </w:pPr>
      <w:r>
        <w:rPr>
          <w:rFonts w:ascii="Arial" w:cs="Arial" w:eastAsia="Arial" w:hAnsi="Arial"/>
          <w:color w:val="1A1A1A"/>
          <w:sz w:val="22"/>
          <w:szCs w:val="22"/>
        </w:rPr>
        <w:t xml:space="preserve">REAL COST — The true cost in APR terms, not factor rates or vague percentages</w:t>
      </w:r>
    </w:p>
    <w:p>
      <w:pPr>
        <w:pStyle w:val="ListParagraph"/>
        <w:numPr>
          <w:ilvl w:val="0"/>
          <w:numId w:val="2"/>
        </w:numPr>
        <w:spacing w:after="60" w:before="60"/>
      </w:pPr>
      <w:r>
        <w:rPr>
          <w:rFonts w:ascii="Arial" w:cs="Arial" w:eastAsia="Arial" w:hAnsi="Arial"/>
          <w:color w:val="1A1A1A"/>
          <w:sz w:val="22"/>
          <w:szCs w:val="22"/>
        </w:rPr>
        <w:t xml:space="preserve">THE LIE THEY TELL — The most common misleading claim made by lenders or brokers</w:t>
      </w:r>
    </w:p>
    <w:p>
      <w:pPr>
        <w:pStyle w:val="ListParagraph"/>
        <w:numPr>
          <w:ilvl w:val="0"/>
          <w:numId w:val="2"/>
        </w:numPr>
        <w:spacing w:after="60" w:before="60"/>
      </w:pPr>
      <w:r>
        <w:rPr>
          <w:rFonts w:ascii="Arial" w:cs="Arial" w:eastAsia="Arial" w:hAnsi="Arial"/>
          <w:color w:val="1A1A1A"/>
          <w:sz w:val="22"/>
          <w:szCs w:val="22"/>
        </w:rPr>
        <w:t xml:space="preserve">THE QUESTION THEY HOPE YOU NEVER ASK — The specific question that reveals what they are hiding</w:t>
      </w:r>
    </w:p>
    <w:p>
      <w:pPr>
        <w:pStyle w:val="ListParagraph"/>
        <w:numPr>
          <w:ilvl w:val="0"/>
          <w:numId w:val="2"/>
        </w:numPr>
        <w:spacing w:after="60" w:before="60"/>
      </w:pPr>
      <w:r>
        <w:rPr>
          <w:rFonts w:ascii="Arial" w:cs="Arial" w:eastAsia="Arial" w:hAnsi="Arial"/>
          <w:color w:val="1A1A1A"/>
          <w:sz w:val="22"/>
          <w:szCs w:val="22"/>
        </w:rPr>
        <w:t xml:space="preserve">THE TRUTH — The honest bottom line on when this product helps and when it hurts</w:t>
      </w:r>
    </w:p>
    <w:p>
      <w:pPr>
        <w:spacing w:after="0" w:before="80"/>
      </w:pPr>
    </w:p>
    <w:p>
      <w:pPr>
        <w:spacing w:after="100" w:before="80"/>
        <w:jc w:val="left"/>
      </w:pPr>
      <w:r>
        <w:rPr>
          <w:rFonts w:ascii="Arial" w:cs="Arial" w:eastAsia="Arial" w:hAnsi="Arial"/>
          <w:b w:val="false"/>
          <w:bCs w:val="false"/>
          <w:i w:val="false"/>
          <w:iCs w:val="false"/>
          <w:color w:val="1A1A1A"/>
          <w:sz w:val="22"/>
          <w:szCs w:val="22"/>
        </w:rPr>
        <w:t xml:space="preserve">Use this as a reference before any funding conversation. If a broker or lender cannot or will not answer the question in the guide, walk away.</w:t>
      </w:r>
    </w:p>
    <w:p>
      <w:pPr>
        <w:spacing w:after="100" w:before="80"/>
        <w:jc w:val="left"/>
      </w:pPr>
      <w:r>
        <w:rPr>
          <w:rFonts w:ascii="Arial" w:cs="Arial" w:eastAsia="Arial" w:hAnsi="Arial"/>
          <w:b w:val="false"/>
          <w:bCs w:val="false"/>
          <w:i/>
          <w:iCs/>
          <w:color w:val="666666"/>
          <w:sz w:val="22"/>
          <w:szCs w:val="22"/>
        </w:rPr>
        <w:t xml:space="preserve">For a free AI-powered analysis of which products fit your specific situation — including an honest roadmap of your best Short Term and Long Term options — visit TheFundingTruth.com. Ana, our AI Funding Analyst, has no commission to earn and no preferred lenders.</w:t>
      </w:r>
    </w:p>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w:t>
            </w:r>
          </w:p>
          <w:p>
            <w:pPr>
              <w:spacing w:after="60" w:before="0"/>
            </w:pPr>
            <w:r>
              <w:rPr>
                <w:rFonts w:ascii="Arial" w:cs="Arial" w:eastAsia="Arial" w:hAnsi="Arial"/>
                <w:b/>
                <w:bCs/>
                <w:color w:val="FFFFFF"/>
                <w:sz w:val="26"/>
                <w:szCs w:val="26"/>
              </w:rPr>
              <w:t xml:space="preserve">SBA 7(a) Loan</w:t>
            </w:r>
          </w:p>
          <w:p>
            <w:pPr>
              <w:spacing w:after="0" w:before="0"/>
            </w:pPr>
            <w:r>
              <w:rPr>
                <w:rFonts w:ascii="Arial" w:cs="Arial" w:eastAsia="Arial" w:hAnsi="Arial"/>
                <w:i/>
                <w:iCs/>
                <w:color w:val="AAAAAA"/>
                <w:sz w:val="20"/>
                <w:szCs w:val="20"/>
              </w:rPr>
              <w:t xml:space="preserve">The gold standard in business financing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government-guaranteed term loan from a bank or credit union. The SBA guarantees up to 85% of the loan, reducing the lender's risk and allowing lower rates and longer terms than conventional loans.</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2+ years old, $100K+ revenue, 650+ credit score, with time to wait 30-90 days for funding.</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Prime rate + 2.5-4.5% (currently approximately 10.5-12.5%). Fixed or variable. Terms: 7-10 years for working capital, 25 years for real estate. No prepayment penalty after 3 years.</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"We can get you SBA rates today" — no lender can guarantee SBA approval today. The process takes weeks. Anyone claiming otherwise is not offering a true SBA loan.</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is the all-in APR including the SBA guarantee fee, origination fee, and closing costs? How long will approval take from complete application to funding?</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The SBA 7(a) is genuinely the best rate available to most small businesses. The catch: the process is slow and documentation-intensive. If you need money in less than 30 days, SBA is not your path right now — but it should be your goal.</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#2</w:t>
            </w:r>
          </w:p>
          <w:p>
            <w:pPr>
              <w:spacing w:after="60" w:before="0"/>
            </w:pPr>
            <w:r>
              <w:rPr>
                <w:rFonts w:ascii="Arial" w:cs="Arial" w:eastAsia="Arial" w:hAnsi="Arial"/>
                <w:b/>
                <w:bCs/>
                <w:color w:val="FFFFFF"/>
                <w:sz w:val="26"/>
                <w:szCs w:val="26"/>
              </w:rPr>
              <w:t xml:space="preserve">SBA 504 Loan</w:t>
            </w:r>
          </w:p>
          <w:p>
            <w:pPr>
              <w:spacing w:after="0" w:before="0"/>
            </w:pPr>
            <w:r>
              <w:rPr>
                <w:rFonts w:ascii="Arial" w:cs="Arial" w:eastAsia="Arial" w:hAnsi="Arial"/>
                <w:i/>
                <w:iCs/>
                <w:color w:val="AAAAAA"/>
                <w:sz w:val="20"/>
                <w:szCs w:val="20"/>
              </w:rPr>
              <w:t xml:space="preserve">Fixed-rate financing for equipment and real estate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two-part loan structure: a conventional bank covers 50%, a Certified Development Company (CDC) covers 40% backed by SBA, and you bring 10% down. Specifically designed for major fixed asset purchases.</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buying equipment over $150,000 or commercial real estate. Strong businesses that can sustain a 90-day approval process.</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Conventional bank portion: market rate (7-10%). CDC portion: fixed rate set monthly by SBA, typically 6-8%. Total effective cost: 7-9% blended. No factor rate. True APR.</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"This works just like a regular loan, just bigger." The 504 is structurally complex with two separate loan agreements, two sets of closing costs, and a longer approval timeline than the 7(a).</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are the two separate loan amounts, two separate rates, and two separate sets of closing costs? What is the total out-of-pocket cost at closing beyond the 10% down?</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The 504 is excellent for what it is designed for: buying a building or major equipment at a fixed rate for 20-25 years. It is not flexible capital. Do not try to use it for working capital or short-term needs.</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#3</w:t>
            </w:r>
          </w:p>
          <w:p>
            <w:pPr>
              <w:spacing w:after="60" w:before="0"/>
            </w:pPr>
            <w:r>
              <w:rPr>
                <w:rFonts w:ascii="Arial" w:cs="Arial" w:eastAsia="Arial" w:hAnsi="Arial"/>
                <w:b/>
                <w:bCs/>
                <w:color w:val="FFFFFF"/>
                <w:sz w:val="26"/>
                <w:szCs w:val="26"/>
              </w:rPr>
              <w:t xml:space="preserve">SBA Microloan</w:t>
            </w:r>
          </w:p>
          <w:p>
            <w:pPr>
              <w:spacing w:after="0" w:before="0"/>
            </w:pPr>
            <w:r>
              <w:rPr>
                <w:rFonts w:ascii="Arial" w:cs="Arial" w:eastAsia="Arial" w:hAnsi="Arial"/>
                <w:i/>
                <w:iCs/>
                <w:color w:val="AAAAAA"/>
                <w:sz w:val="20"/>
                <w:szCs w:val="20"/>
              </w:rPr>
              <w:t xml:space="preserve">Small-dollar SBA loans for startups and early-stage businesses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SBA-funded loans of up to $50,000 administered through nonprofit intermediary lenders. Designed specifically for startups, newer businesses, and underserved communities where conventional financing is unavailable.</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under 2 years old, under $100K revenue, credit scores below 650, or those in underserved markets. Requires more patience but far better than predatory alternatives.</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Interest rates: 8-13% APR. Terms: up to 6 years. Amounts: $500-$50,000. No daily debits. Monthly payments. Real interest, not factor rates.</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"It's a small amount and too much work." Many business owners overlook microloans because of the application process. The work is worth it — these rates are dramatically better than any MCA or high-cost alternative lender.</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Which specific intermediary lender in my area administers SBA Microloans? What is the complete application process and timeline for that specific lender?</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The Microloan program is one of the most underutilized tools for early-stage businesses. The intermediary lenders often provide free technical assistance alongside the loan. Look up your local SBDC to find the right intermediary.</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#4</w:t>
            </w:r>
          </w:p>
          <w:p>
            <w:pPr>
              <w:spacing w:after="60" w:before="0"/>
            </w:pPr>
            <w:r>
              <w:rPr>
                <w:rFonts w:ascii="Arial" w:cs="Arial" w:eastAsia="Arial" w:hAnsi="Arial"/>
                <w:b/>
                <w:bCs/>
                <w:color w:val="FFFFFF"/>
                <w:sz w:val="26"/>
                <w:szCs w:val="26"/>
              </w:rPr>
              <w:t xml:space="preserve">Business Line of Credit</w:t>
            </w:r>
          </w:p>
          <w:p>
            <w:pPr>
              <w:spacing w:after="0" w:before="0"/>
            </w:pPr>
            <w:r>
              <w:rPr>
                <w:rFonts w:ascii="Arial" w:cs="Arial" w:eastAsia="Arial" w:hAnsi="Arial"/>
                <w:i/>
                <w:iCs/>
                <w:color w:val="AAAAAA"/>
                <w:sz w:val="20"/>
                <w:szCs w:val="20"/>
              </w:rPr>
              <w:t xml:space="preserve">Flexible revolving capital — draw what you need, when you need 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revolving credit facility from a bank, credit union, or online lender. You are approved for a maximum amount and can draw and repay repeatedly. You only pay interest on what you actually use.</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Established businesses (2+ years) using it for cash flow management, seasonal inventory, or bridge financing between receivables. Not for funding a major purchase.</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Bank LOC: Prime + 1-3% (currently 9.5-11.5%). Online lender LOC: 15-40% APR. Factor-rate LOC (disguised as flexible): effective APR can exceed 60%. Read the terms carefully.</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"It's like a credit card but better." Some revenue-based LOCs use factor rates, not interest rates. The draw fee (2-5% of each draw) plus the weekly repayment structure creates an effective APR far higher than the stated rate.</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Is this a simple-interest line or a factor-rate product? What is the draw fee percentage? Are repayments weekly or monthly? What is the effective APR if I draw $50,000 and repay over 6 months?</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A genuine simple-interest business line of credit from a bank is one of the most valuable financial tools a business can have. Build toward this. The online-lender versions that charge factor rates on draws are not lines of credit — they are expensive short-term products packaged in flexible language.</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#5</w:t>
            </w:r>
          </w:p>
          <w:p>
            <w:pPr>
              <w:spacing w:after="60" w:before="0"/>
            </w:pPr>
            <w:r>
              <w:rPr>
                <w:rFonts w:ascii="Arial" w:cs="Arial" w:eastAsia="Arial" w:hAnsi="Arial"/>
                <w:b/>
                <w:bCs/>
                <w:color w:val="FFFFFF"/>
                <w:sz w:val="26"/>
                <w:szCs w:val="26"/>
              </w:rPr>
              <w:t xml:space="preserve">Term Loan (Bank or Credit Union)</w:t>
            </w:r>
          </w:p>
          <w:p>
            <w:pPr>
              <w:spacing w:after="0" w:before="0"/>
            </w:pPr>
            <w:r>
              <w:rPr>
                <w:rFonts w:ascii="Arial" w:cs="Arial" w:eastAsia="Arial" w:hAnsi="Arial"/>
                <w:i/>
                <w:iCs/>
                <w:color w:val="AAAAAA"/>
                <w:sz w:val="20"/>
                <w:szCs w:val="20"/>
              </w:rPr>
              <w:t xml:space="preserve">Lump-sum financing with fixed monthly payments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straightforward fixed-amount loan repaid in equal monthly installments over a defined term. Available from banks, credit unions, and alternative lenders at varying rates. The structure is simple; the rates vary enormously by lender type.</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with 2+ years of operation, consistent revenue, and a specific use of funds — equipment, expansion, renovation, or debt consolidation.</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Bank: 7-15% APR. Credit union: 7-12% APR. Online alternative lender: 18-50% APR. Factor-rate disguised as term loan: 40-100%+ effective APR. Monthly payments only — any product requiring daily or weekly repayments is not a traditional term loan.</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"Our rates start at X%" — the starting rate applies to the most qualified borrowers. Most small business applicants receive rates significantly higher than the advertised floor rate.</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is the APR — not the factor rate, not the rate multiplied by principal — the Annual Percentage Rate as defined by the Truth in Lending Act? Are payments monthly? What is the total repayment amount if I repay on schedule?</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A term loan from a bank or credit union at true monthly payments is a legitimate, appropriate tool. Know your rate. Know your total repayment amount. Any lender who cannot or will not give you a clear APR before you sign is not offering a transparent product.</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#6</w:t>
            </w:r>
          </w:p>
          <w:p>
            <w:pPr>
              <w:spacing w:after="60" w:before="0"/>
            </w:pPr>
            <w:r>
              <w:rPr>
                <w:rFonts w:ascii="Arial" w:cs="Arial" w:eastAsia="Arial" w:hAnsi="Arial"/>
                <w:b/>
                <w:bCs/>
                <w:color w:val="FFFFFF"/>
                <w:sz w:val="26"/>
                <w:szCs w:val="26"/>
              </w:rPr>
              <w:t xml:space="preserve">Equipment Financing</w:t>
            </w:r>
          </w:p>
          <w:p>
            <w:pPr>
              <w:spacing w:after="0" w:before="0"/>
            </w:pPr>
            <w:r>
              <w:rPr>
                <w:rFonts w:ascii="Arial" w:cs="Arial" w:eastAsia="Arial" w:hAnsi="Arial"/>
                <w:i/>
                <w:iCs/>
                <w:color w:val="AAAAAA"/>
                <w:sz w:val="20"/>
                <w:szCs w:val="20"/>
              </w:rPr>
              <w:t xml:space="preserve">Use the equipment itself as collateral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loan or lease specifically for purchasing business equipment — vehicles, machinery, technology, restaurant equipment, medical devices, construction tools, and more. The equipment itself serves as collateral, which dramatically reduces the lender's risk and allows approval even when other financing would be unavailable.</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Any business buying equipment worth $5,000+. Ideal when MCAs, weak credit, or limited operating history block other options — equipment lenders primarily underwrite the asset, not the business.</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7-16% APR depending on equipment type, age, and business profile. Terms: 24-72 months. Down payment: 0-20%. Monthly payments. No factor rates. No daily debits.</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"Your existing MCA will prevent approval." Equipment financing is the one product where an active MCA matters least. The equipment's collateral value is the primary underwriting factor. Lenders who say otherwise may be steering you toward a more profitable product.</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is the APR on the full loan amount? Does the payment schedule change if I pay off early? What happens to the equipment if I default — is there a deficiency judgment?</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Equipment financing is frequently the fastest and most appropriate first move for businesses with active MCAs who need capital. The equipment secures itself. Do not pay off an existing MCA to qualify for equipment financing — it is usually unnecessary.</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#7</w:t>
            </w:r>
          </w:p>
          <w:p>
            <w:pPr>
              <w:spacing w:after="60" w:before="0"/>
            </w:pPr>
            <w:r>
              <w:rPr>
                <w:rFonts w:ascii="Arial" w:cs="Arial" w:eastAsia="Arial" w:hAnsi="Arial"/>
                <w:b/>
                <w:bCs/>
                <w:color w:val="FFFFFF"/>
                <w:sz w:val="26"/>
                <w:szCs w:val="26"/>
              </w:rPr>
              <w:t xml:space="preserve">Invoice Factoring</w:t>
            </w:r>
          </w:p>
          <w:p>
            <w:pPr>
              <w:spacing w:after="0" w:before="0"/>
            </w:pPr>
            <w:r>
              <w:rPr>
                <w:rFonts w:ascii="Arial" w:cs="Arial" w:eastAsia="Arial" w:hAnsi="Arial"/>
                <w:i/>
                <w:iCs/>
                <w:color w:val="AAAAAA"/>
                <w:sz w:val="20"/>
                <w:szCs w:val="20"/>
              </w:rPr>
              <w:t xml:space="preserve">Sell your unpaid invoices for immediate cash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You sell your outstanding invoices (accounts receivable) to a factoring company at a discount. The factor advances 70-90% of the invoice value immediately, then collects directly from your customers, and remits the remaining balance minus their fee when your customer pays.</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B2B businesses with 30-90 day payment terms and creditworthy commercial customers. Not appropriate for B2C businesses, restaurants, or retail.</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Factor fee: 1-5% of invoice value per 30-day period. Advance rate: 70-90% of invoice face value. True effective APR on the cost: 15-60%+ depending on your customers' payment speed. The faster your customers pay, the lower the effective rate.</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"We buy your invoices — it is not a loan." Technically true. But signing a factoring agreement usually includes a notification requirement (your customers are told you are factoring), a minimum volume commitment, and a recourse provision (you owe the factor if your customer does not pay).</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Is this recourse or non-recourse factoring? Do you notify my customers that their invoices are being factored? Is there a minimum monthly volume requirement? What happens if my customer disputes an invoice?</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Factoring is legitimate and appropriate for the right business. The non-recourse versions protect you if customers do not pay; recourse versions do not. Your customers will know you are factoring — plan for that conversation.</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#8</w:t>
            </w:r>
          </w:p>
          <w:p>
            <w:pPr>
              <w:spacing w:after="60" w:before="0"/>
            </w:pPr>
            <w:r>
              <w:rPr>
                <w:rFonts w:ascii="Arial" w:cs="Arial" w:eastAsia="Arial" w:hAnsi="Arial"/>
                <w:b/>
                <w:bCs/>
                <w:color w:val="FFFFFF"/>
                <w:sz w:val="26"/>
                <w:szCs w:val="26"/>
              </w:rPr>
              <w:t xml:space="preserve">Merchant Cash Advance (MCA)</w:t>
            </w:r>
          </w:p>
          <w:p>
            <w:pPr>
              <w:spacing w:after="0" w:before="0"/>
            </w:pPr>
            <w:r>
              <w:rPr>
                <w:rFonts w:ascii="Arial" w:cs="Arial" w:eastAsia="Arial" w:hAnsi="Arial"/>
                <w:i/>
                <w:iCs/>
                <w:color w:val="AAAAAA"/>
                <w:sz w:val="20"/>
                <w:szCs w:val="20"/>
              </w:rPr>
              <w:t xml:space="preserve">The most expensive common business financing product — understand it completely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An MCA is not a loan. It is the purchase of a portion of your future revenue at a discount. The funder advances a lump sum; you repay it through daily or weekly automatic debits of a percentage of your revenue (or a fixed daily amount) until the agreed total repayment is reached.</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Nobody. MCAs should only be used as a last resort by businesses with no other qualifying options, urgent need, and a specific plan to repay within 90 days.</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Factor rate: 1.15-1.55x of the advance amount. A $100,000 advance at 1.35 requires $135,000 in repayment. Effective APR: 60-400%+ depending on repayment speed. Early payoff saves nothing — the full factor amount is owed regardless.</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"This is a revenue advance, not a loan, so there are no interest charges." True that there is no APR. False that this makes it cheaper. A factor rate of 1.35 on a 6-month advance is approximately 70% APR equivalent. The lack of an APR disclosure is a feature for the funder, not a benefit for you.</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is the total repayment amount in dollars? What is the daily debit amount? What happens if I miss a payment — what are the default provisions? Can I see a copy of the UCC filing before I sign?</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MCAs are the most expensive common form of business financing. They are legal, widely available, and often the path of least resistance — which is exactly why they should be your last resort, not your first call. Every MCA funder wants your business. Very few want what is best for it.</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#9</w:t>
            </w:r>
          </w:p>
          <w:p>
            <w:pPr>
              <w:spacing w:after="60" w:before="0"/>
            </w:pPr>
            <w:r>
              <w:rPr>
                <w:rFonts w:ascii="Arial" w:cs="Arial" w:eastAsia="Arial" w:hAnsi="Arial"/>
                <w:b/>
                <w:bCs/>
                <w:color w:val="FFFFFF"/>
                <w:sz w:val="26"/>
                <w:szCs w:val="26"/>
              </w:rPr>
              <w:t xml:space="preserve">Revenue-Based Financing</w:t>
            </w:r>
          </w:p>
          <w:p>
            <w:pPr>
              <w:spacing w:after="0" w:before="0"/>
            </w:pPr>
            <w:r>
              <w:rPr>
                <w:rFonts w:ascii="Arial" w:cs="Arial" w:eastAsia="Arial" w:hAnsi="Arial"/>
                <w:i/>
                <w:iCs/>
                <w:color w:val="AAAAAA"/>
                <w:sz w:val="20"/>
                <w:szCs w:val="20"/>
              </w:rPr>
              <w:t xml:space="preserve">Flexible repayment tied to monthly revenue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Similar in structure to an MCA but with one important difference: repayments are a true percentage of monthly revenue rather than a fixed daily debit. In a slow month, you pay less. In a strong month, you pay more. The total repayment amount is still fixed by a factor rate.</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with variable or seasonal revenue who need flexibility in the repayment schedule. Slightly more appropriate than a fixed MCA for restaurants, seasonal businesses, or event-based revenue.</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Factor rate: 1.20-1.45x. Effective APR: 30-150% depending on revenue performance and repayment speed. Not interest-based. No APR disclosure required by law.</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"Your payments flex with your revenue — it is built for your business model." The total repayment does not flex. Only the timing does. A slow season means slower payoff but the same total cost.</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is the total repayment amount in dollars? What percentage of my monthly revenue will be debited? What is the minimum monthly payment if revenue drops to zero? Is there a time cap on the repayment period?</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Revenue-based financing is marginally better than a fixed MCA for variable-revenue businesses. It is still expensive. It is still a factor-rate product. Treat it the same way you treat an MCA — use it only if no other option exists.</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#10</w:t>
            </w:r>
          </w:p>
          <w:p>
            <w:pPr>
              <w:spacing w:after="60" w:before="0"/>
            </w:pPr>
            <w:r>
              <w:rPr>
                <w:rFonts w:ascii="Arial" w:cs="Arial" w:eastAsia="Arial" w:hAnsi="Arial"/>
                <w:b/>
                <w:bCs/>
                <w:color w:val="FFFFFF"/>
                <w:sz w:val="26"/>
                <w:szCs w:val="26"/>
              </w:rPr>
              <w:t xml:space="preserve">MCA Reverse Consolidation</w:t>
            </w:r>
          </w:p>
          <w:p>
            <w:pPr>
              <w:spacing w:after="0" w:before="0"/>
            </w:pPr>
            <w:r>
              <w:rPr>
                <w:rFonts w:ascii="Arial" w:cs="Arial" w:eastAsia="Arial" w:hAnsi="Arial"/>
                <w:i/>
                <w:iCs/>
                <w:color w:val="AAAAAA"/>
                <w:sz w:val="20"/>
                <w:szCs w:val="20"/>
              </w:rPr>
              <w:t xml:space="preserve">Short-term relief from multiple MCA positions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new funder advances capital to a management company that then makes your existing MCA payments for you, replacing multiple daily debits with one lower combined payment. Your existing MCA positions are not paid off — they continue running in the background.</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current on 2+ MCAs with combined daily debits creating genuine cash flow crisis, who need breathing room while pursuing a real exit strategy.</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New advance: factor rate 1.20-1.40x. Daily debit: lower than combined existing debits. Net effect: temporary cash flow relief at the cost of adding additional debt. Total debt increases.</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"We will consolidate your MCAs into one payment." Consolidation implies payoff. This is not payoff — it is a new advance that runs alongside your existing advances. Your total MCA debt increases.</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Will my existing MCA balances be paid off or will they continue running? What is the new advance amount, factor rate, and daily debit? What is my total MCA debt before and after this transaction?</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Reverse consolidation buys time. It does not solve the problem. Use it only as a bridge to a real exit strategy — equipment financing, SBA, bank term loan, or a negotiated settlement. Never stack an MCA on top of other MCAs without a clear plan to exit all of them.</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#11</w:t>
            </w:r>
          </w:p>
          <w:p>
            <w:pPr>
              <w:spacing w:after="60" w:before="0"/>
            </w:pPr>
            <w:r>
              <w:rPr>
                <w:rFonts w:ascii="Arial" w:cs="Arial" w:eastAsia="Arial" w:hAnsi="Arial"/>
                <w:b/>
                <w:bCs/>
                <w:color w:val="FFFFFF"/>
                <w:sz w:val="26"/>
                <w:szCs w:val="26"/>
              </w:rPr>
              <w:t xml:space="preserve">Business Credit Cards</w:t>
            </w:r>
          </w:p>
          <w:p>
            <w:pPr>
              <w:spacing w:after="0" w:before="0"/>
            </w:pPr>
            <w:r>
              <w:rPr>
                <w:rFonts w:ascii="Arial" w:cs="Arial" w:eastAsia="Arial" w:hAnsi="Arial"/>
                <w:i/>
                <w:iCs/>
                <w:color w:val="AAAAAA"/>
                <w:sz w:val="20"/>
                <w:szCs w:val="20"/>
              </w:rPr>
              <w:t xml:space="preserve">0% introductory rate financing with no collateral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Business credit cards from major issuers offer 0% introductory APR periods of 12-18 months for qualified applicants. For businesses that can manage repayment within the promotional window, this is among the lowest-cost financing available.</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with 680+ personal credit score, under 3 years in business, needing $10,000-$75,000 for working capital, equipment, inventory, or growth spending. Especially useful as an alternative to high-cost short-term debt.</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0% for 12-18 months (introductory). After intro period: 18-29% APR. No collateral. No UCC filing. No factor rate. No daily debits.</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"Business credit cards don't build business credit." Major business cards from Chase, American Express, Capital One, and Citi do report to business credit bureaus and help build your business credit profile independently of your personal score.</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Does this card report to business credit bureaus independently of my personal credit? What is the APR after the introductory period? Is there a balance transfer option to roll remaining balances to a new 0% card?</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Stacking two or three business credit cards during the 0% window is a legitimate strategy for businesses that need $30,000-$75,000 and can repay within 18 months. Apply for cards 3-5 days apart to minimize credit score impact from multiple inquiries.</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#12</w:t>
            </w:r>
          </w:p>
          <w:p>
            <w:pPr>
              <w:spacing w:after="60" w:before="0"/>
            </w:pPr>
            <w:r>
              <w:rPr>
                <w:rFonts w:ascii="Arial" w:cs="Arial" w:eastAsia="Arial" w:hAnsi="Arial"/>
                <w:b/>
                <w:bCs/>
                <w:color w:val="FFFFFF"/>
                <w:sz w:val="26"/>
                <w:szCs w:val="26"/>
              </w:rPr>
              <w:t xml:space="preserve">CDFI Loans</w:t>
            </w:r>
          </w:p>
          <w:p>
            <w:pPr>
              <w:spacing w:after="0" w:before="0"/>
            </w:pPr>
            <w:r>
              <w:rPr>
                <w:rFonts w:ascii="Arial" w:cs="Arial" w:eastAsia="Arial" w:hAnsi="Arial"/>
                <w:i/>
                <w:iCs/>
                <w:color w:val="AAAAAA"/>
                <w:sz w:val="20"/>
                <w:szCs w:val="20"/>
              </w:rPr>
              <w:t xml:space="preserve">Mission-driven lenders serving underserved markets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Community Development Financial Institutions (CDFIs) are mission-driven lenders certified by the US Treasury to serve businesses and communities underserved by conventional banking. They offer rates and terms between traditional banks and alternative lenders.</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in low-income areas, minority-owned businesses, women-owned businesses, or those in industries or geographies ignored by conventional banks. Also useful for businesses rebuilding after financial difficulty.</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Rates: 8-18% APR. Terms: 12-84 months. Amounts: $5,000-$500,000+. Monthly payments. True interest rates, not factor rates. Technical assistance often included.</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"You have to be a nonprofit or a startup to qualify." CDFIs serve a wide range of businesses. Many have no minimum time-in-business requirement and work with credit scores as low as 575.</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Is your organization CDFI-certified by the US Treasury? What specific geographic or demographic markets do you serve? Do you provide technical assistance or business coaching alongside the financing?</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CDFIs are significantly underutilized by eligible businesses. Opportunity Finance Network (ofn.org) maintains a searchable directory of CDFI lenders by state and focus area. This resource is free and almost unknown to most business owners.</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#13</w:t>
            </w:r>
          </w:p>
          <w:p>
            <w:pPr>
              <w:spacing w:after="60" w:before="0"/>
            </w:pPr>
            <w:r>
              <w:rPr>
                <w:rFonts w:ascii="Arial" w:cs="Arial" w:eastAsia="Arial" w:hAnsi="Arial"/>
                <w:b/>
                <w:bCs/>
                <w:color w:val="FFFFFF"/>
                <w:sz w:val="26"/>
                <w:szCs w:val="26"/>
              </w:rPr>
              <w:t xml:space="preserve">Asset-Based Lending (ABL)</w:t>
            </w:r>
          </w:p>
          <w:p>
            <w:pPr>
              <w:spacing w:after="0" w:before="0"/>
            </w:pPr>
            <w:r>
              <w:rPr>
                <w:rFonts w:ascii="Arial" w:cs="Arial" w:eastAsia="Arial" w:hAnsi="Arial"/>
                <w:i/>
                <w:iCs/>
                <w:color w:val="AAAAAA"/>
                <w:sz w:val="20"/>
                <w:szCs w:val="20"/>
              </w:rPr>
              <w:t xml:space="preserve">Collateral-driven financing for businesses with valuable assets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financing structure where the loan amount is determined by the value of your business assets — accounts receivable, inventory, equipment, or real estate. A lender advances a percentage of the appraised or liquidation value of the collateral.</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Manufacturing companies, distributors, wholesale businesses, or any business with substantial receivables or inventory but limited traditional creditworthiness.</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Revolving ABL line: Prime + 2-5%. Term ABL: 8-16% APR. Advance rates: 70-85% on receivables, 50-60% on inventory, 75-80% on equipment. Monthly monitoring fees: 0.1-0.3% of facility size.</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"It is just like a regular bank loan." Asset-based lending includes ongoing monitoring and audit rights. The lender regularly reviews and verifies your asset values. A drop in asset value can trigger a borrowing base reduction — meaning your available credit shrinks even if you have not done anything wrong.</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are the advance rates against each asset class? How frequently is the borrowing base recalculated? What triggers a borrowing base reduction? What are the ongoing audit and monitoring fees?</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ABL is a legitimate and often underutilized tool for asset-heavy businesses. The ongoing monitoring requirement is real — understand it and price it into your decision. It is not appropriate for service businesses with few hard assets.</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#14</w:t>
            </w:r>
          </w:p>
          <w:p>
            <w:pPr>
              <w:spacing w:after="60" w:before="0"/>
            </w:pPr>
            <w:r>
              <w:rPr>
                <w:rFonts w:ascii="Arial" w:cs="Arial" w:eastAsia="Arial" w:hAnsi="Arial"/>
                <w:b/>
                <w:bCs/>
                <w:color w:val="FFFFFF"/>
                <w:sz w:val="26"/>
                <w:szCs w:val="26"/>
              </w:rPr>
              <w:t xml:space="preserve">Purchase Order Financing</w:t>
            </w:r>
          </w:p>
          <w:p>
            <w:pPr>
              <w:spacing w:after="0" w:before="0"/>
            </w:pPr>
            <w:r>
              <w:rPr>
                <w:rFonts w:ascii="Arial" w:cs="Arial" w:eastAsia="Arial" w:hAnsi="Arial"/>
                <w:i/>
                <w:iCs/>
                <w:color w:val="AAAAAA"/>
                <w:sz w:val="20"/>
                <w:szCs w:val="20"/>
              </w:rPr>
              <w:t xml:space="preserve">Fund your ability to fulfill large orders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specialty financing product where the lender pays your supplier directly to fulfill a confirmed purchase order from a creditworthy customer. You receive the goods, fulfill the order, collect from your customer, and repay the PO financer from the proceeds.</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Product-based businesses with confirmed, creditworthy customer POs that exceed their current cash or inventory capacity. Not for services businesses.</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Fee: 2-5% of the PO value per 30-day period. Effective APR: 24-60%. The lender pays your supplier, not you — no cash touches your account until the customer pays.</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"It works for any business." PO financing requires a creditworthy end customer (often a large retailer or government entity), a confirmed purchase order in writing, and a supplier willing to work with the financing structure. Not every deal qualifies.</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are your minimum PO size requirements? Do you work with my specific supplier country/region? What happens if my customer returns the goods or disputes the invoice? How do you handle payment directly to my supplier?</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PO financing solves a specific problem: you have the order but not the capital to fill it. For that specific situation, it is appropriate. The cost is high but the alternative — turning down a large order — may be worse.</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#15</w:t>
            </w:r>
          </w:p>
          <w:p>
            <w:pPr>
              <w:spacing w:after="60" w:before="0"/>
            </w:pPr>
            <w:r>
              <w:rPr>
                <w:rFonts w:ascii="Arial" w:cs="Arial" w:eastAsia="Arial" w:hAnsi="Arial"/>
                <w:b/>
                <w:bCs/>
                <w:color w:val="FFFFFF"/>
                <w:sz w:val="26"/>
                <w:szCs w:val="26"/>
              </w:rPr>
              <w:t xml:space="preserve">Working Capital Loan</w:t>
            </w:r>
          </w:p>
          <w:p>
            <w:pPr>
              <w:spacing w:after="0" w:before="0"/>
            </w:pPr>
            <w:r>
              <w:rPr>
                <w:rFonts w:ascii="Arial" w:cs="Arial" w:eastAsia="Arial" w:hAnsi="Arial"/>
                <w:i/>
                <w:iCs/>
                <w:color w:val="AAAAAA"/>
                <w:sz w:val="20"/>
                <w:szCs w:val="20"/>
              </w:rPr>
              <w:t xml:space="preserve">Short-to-medium term cash for operating expenses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general-purpose term loan for operating expenses — payroll, inventory, marketing, rent, or other costs of running the business. Offered by banks, credit unions, and alternative lenders with widely varying rates and structures.</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Established businesses (2+ years) with consistent revenue facing a temporary cash flow gap or investing in near-term growth with a defined repayment source.</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Bank: 8-18% APR, monthly payments. Credit union: 7-14% APR. Alternative lender: 18-50% APR. Factor-rate disguised as working capital loan: 40-100%+ effective APR. Repayment: monthly (legitimate) or daily/weekly (red flag).</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"Working capital is what you need." Every lender calls their product what the borrower wants to hear. A 'working capital loan' from an alternative lender charging daily debits and a factor rate is an MCA with different branding.</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Is this product priced on an annual percentage rate or a factor rate? Are payments monthly? What is the complete schedule showing each payment amount and date? What is the total repayment amount?</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The term 'working capital loan' describes the purpose, not the structure. Always focus on the structure: APR vs. factor rate, monthly vs. daily payments, and total repayment amount. These three numbers tell you everything about the true cost.</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#16</w:t>
            </w:r>
          </w:p>
          <w:p>
            <w:pPr>
              <w:spacing w:after="60" w:before="0"/>
            </w:pPr>
            <w:r>
              <w:rPr>
                <w:rFonts w:ascii="Arial" w:cs="Arial" w:eastAsia="Arial" w:hAnsi="Arial"/>
                <w:b/>
                <w:bCs/>
                <w:color w:val="FFFFFF"/>
                <w:sz w:val="26"/>
                <w:szCs w:val="26"/>
              </w:rPr>
              <w:t xml:space="preserve">Inventory Financing</w:t>
            </w:r>
          </w:p>
          <w:p>
            <w:pPr>
              <w:spacing w:after="0" w:before="0"/>
            </w:pPr>
            <w:r>
              <w:rPr>
                <w:rFonts w:ascii="Arial" w:cs="Arial" w:eastAsia="Arial" w:hAnsi="Arial"/>
                <w:i/>
                <w:iCs/>
                <w:color w:val="AAAAAA"/>
                <w:sz w:val="20"/>
                <w:szCs w:val="20"/>
              </w:rPr>
              <w:t xml:space="preserve">Finance your inventory before your revenue arrives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loan or credit line specifically for purchasing inventory, with the inventory itself serving as partial collateral. Allows businesses to stock up for high-demand periods without depleting operating cash.</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Product-based retailers, wholesalers, and distributors with predictable seasonal demand or confirmed customer orders requiring inventory investment before revenue is received.</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Bank: 7-15% APR. Asset-based lender: 10-20% APR on the inventory advance. Advance rate: 50-65% of inventory appraised value. Monthly payments. Requires proof of purchase orders or sales history.</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"We can fund your full inventory need." Most inventory lenders advance 50-65% of appraised inventory value — not replacement cost, not retail price, but liquidation value. What they will actually advance may be significantly less than what you expect.</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advance rate do you use against my specific inventory type? Do you use replacement cost, retail value, or liquidation value to calculate the advance? What triggers a margin call if inventory value drops?</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Inventory financing is appropriate when you have confirmed demand and predictable sell-through. Do not use it to speculate on inventory that may not move — the lender still gets paid even if the inventory sits.</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#17</w:t>
            </w:r>
          </w:p>
          <w:p>
            <w:pPr>
              <w:spacing w:after="60" w:before="0"/>
            </w:pPr>
            <w:r>
              <w:rPr>
                <w:rFonts w:ascii="Arial" w:cs="Arial" w:eastAsia="Arial" w:hAnsi="Arial"/>
                <w:b/>
                <w:bCs/>
                <w:color w:val="FFFFFF"/>
                <w:sz w:val="26"/>
                <w:szCs w:val="26"/>
              </w:rPr>
              <w:t xml:space="preserve">Commercial Real Estate Loan</w:t>
            </w:r>
          </w:p>
          <w:p>
            <w:pPr>
              <w:spacing w:after="0" w:before="0"/>
            </w:pPr>
            <w:r>
              <w:rPr>
                <w:rFonts w:ascii="Arial" w:cs="Arial" w:eastAsia="Arial" w:hAnsi="Arial"/>
                <w:i/>
                <w:iCs/>
                <w:color w:val="AAAAAA"/>
                <w:sz w:val="20"/>
                <w:szCs w:val="20"/>
              </w:rPr>
              <w:t xml:space="preserve">Long-term financing for business property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mortgage-style loan for purchasing, refinancing, or improving commercial property. Available through banks, credit unions, the SBA (504 and 7(a) real estate programs), and CMBS lenders for larger properties.</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purchasing their own space, investors buying income-producing commercial property, or businesses refinancing existing commercial debt at better rates.</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Bank: 6.5-9.5% APR, 20-25 year amortization. SBA 504: fixed at approximately 6-8% on the CDC portion, 20-25 years. CMBS: 6-8%, 10-year fixed with balloon. Down payment: 10-25%.</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"The property qualifies, so you qualify." Commercial real estate lenders underwrite both the property (cash flow coverage, LTV) and the borrower (credit, financial statements, liquidity). Strong property with weak borrower still gets declined.</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debt service coverage ratio (DSCR) do you require? What is your maximum loan-to-value? How do you underwrite my personal income and the business revenue separately? What are the prepayment penalties?</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If you are buying commercial real estate, a mortgage is almost always the right structure. The SBA 504 with its fixed-rate, low-down-payment structure is often the best available option for owner-occupied commercial property under $15 million.</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3" w:sz="6"/>
              <w:left w:val="single" w:color="DDDDDD" w:sz="1"/>
              <w:bottom w:val="single" w:color="DDDDDD" w:sz="1"/>
              <w:right w:val="single" w:color="DDDDDD" w:sz="1"/>
            </w:tcBorders>
            <w:shd w:fill="060E1E" w:val="clear"/>
            <w:tcMar>
              <w:top w:type="dxa" w:w="120"/>
              <w:left w:type="dxa" w:w="200"/>
              <w:bottom w:type="dxa" w:w="120"/>
              <w:right w:type="dxa" w:w="200"/>
            </w:tcMar>
          </w:tcPr>
          <w:p>
            <w:pPr>
              <w:spacing w:after="40" w:before="0"/>
            </w:pPr>
            <w:r>
              <w:rPr>
                <w:rFonts w:ascii="Arial" w:cs="Arial" w:eastAsia="Arial" w:hAnsi="Arial"/>
                <w:b/>
                <w:bCs/>
                <w:color w:val="C9A843"/>
                <w:sz w:val="18"/>
                <w:szCs w:val="18"/>
              </w:rPr>
              <w:t xml:space="preserve">#18</w:t>
            </w:r>
          </w:p>
          <w:p>
            <w:pPr>
              <w:spacing w:after="60" w:before="0"/>
            </w:pPr>
            <w:r>
              <w:rPr>
                <w:rFonts w:ascii="Arial" w:cs="Arial" w:eastAsia="Arial" w:hAnsi="Arial"/>
                <w:b/>
                <w:bCs/>
                <w:color w:val="FFFFFF"/>
                <w:sz w:val="26"/>
                <w:szCs w:val="26"/>
              </w:rPr>
              <w:t xml:space="preserve">Short-Term Business Loan</w:t>
            </w:r>
          </w:p>
          <w:p>
            <w:pPr>
              <w:spacing w:after="0" w:before="0"/>
            </w:pPr>
            <w:r>
              <w:rPr>
                <w:rFonts w:ascii="Arial" w:cs="Arial" w:eastAsia="Arial" w:hAnsi="Arial"/>
                <w:i/>
                <w:iCs/>
                <w:color w:val="AAAAAA"/>
                <w:sz w:val="20"/>
                <w:szCs w:val="20"/>
              </w:rPr>
              <w:t xml:space="preserve">The step between MCA and real bank financing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DDDDD" w:sz="1"/>
              <w:bottom w:val="single" w:color="DDDDDD" w:sz="1"/>
              <w:right w:val="single" w:color="DDDDDD" w:sz="1"/>
            </w:tcBorders>
            <w:shd w:fill="F8F8F8" w:val="clear"/>
            <w:tcMar>
              <w:top w:type="dxa" w:w="120"/>
              <w:left w:type="dxa" w:w="200"/>
              <w:bottom w:type="dxa" w:w="120"/>
              <w:right w:type="dxa" w:w="200"/>
            </w:tcMar>
          </w:tcPr>
          <w:p>
            <w:pPr>
              <w:spacing w:after="60" w:before="0"/>
            </w:pPr>
            <w:r>
              <w:rPr>
                <w:rFonts w:ascii="Arial" w:cs="Arial" w:eastAsia="Arial" w:hAnsi="Arial"/>
                <w:b/>
                <w:bCs/>
                <w:color w:val="C9A843"/>
                <w:sz w:val="16"/>
                <w:szCs w:val="16"/>
              </w:rPr>
              <w:t xml:space="preserve">WHAT IT IS</w:t>
            </w:r>
          </w:p>
          <w:p>
            <w:pPr>
              <w:spacing w:after="120" w:before="0"/>
            </w:pPr>
            <w:r>
              <w:rPr>
                <w:rFonts w:ascii="Arial" w:cs="Arial" w:eastAsia="Arial" w:hAnsi="Arial"/>
                <w:color w:val="1A1A1A"/>
                <w:sz w:val="20"/>
                <w:szCs w:val="20"/>
              </w:rPr>
              <w:t xml:space="preserve">A term loan from an online or alternative lender with a 6-24 month repayment term, monthly payments (not daily), and a true interest rate (not a factor rate). A meaningful improvement over MCA products for businesses that do not yet qualify for bank financing.</w:t>
            </w:r>
          </w:p>
          <w:p>
            <w:pPr>
              <w:spacing w:after="60" w:before="0"/>
            </w:pPr>
            <w:r>
              <w:rPr>
                <w:rFonts w:ascii="Arial" w:cs="Arial" w:eastAsia="Arial" w:hAnsi="Arial"/>
                <w:b/>
                <w:bCs/>
                <w:color w:val="1B5E20"/>
                <w:sz w:val="16"/>
                <w:szCs w:val="16"/>
              </w:rPr>
              <w:t xml:space="preserve">BEST FOR</w:t>
            </w:r>
          </w:p>
          <w:p>
            <w:pPr>
              <w:spacing w:after="120" w:before="0"/>
            </w:pPr>
            <w:r>
              <w:rPr>
                <w:rFonts w:ascii="Arial" w:cs="Arial" w:eastAsia="Arial" w:hAnsi="Arial"/>
                <w:color w:val="1A1A1A"/>
                <w:sz w:val="20"/>
                <w:szCs w:val="20"/>
              </w:rPr>
              <w:t xml:space="preserve">Businesses with 2+ years of operation and $10,000+ monthly revenue that do not qualify for bank rates but want better than daily-debit MCA products.</w:t>
            </w:r>
          </w:p>
          <w:p>
            <w:pPr>
              <w:spacing w:after="60" w:before="0"/>
            </w:pPr>
            <w:r>
              <w:rPr>
                <w:rFonts w:ascii="Arial" w:cs="Arial" w:eastAsia="Arial" w:hAnsi="Arial"/>
                <w:b/>
                <w:bCs/>
                <w:color w:val="0D1628"/>
                <w:sz w:val="16"/>
                <w:szCs w:val="16"/>
              </w:rPr>
              <w:t xml:space="preserve">REAL COST</w:t>
            </w:r>
          </w:p>
          <w:p>
            <w:pPr>
              <w:spacing w:after="120" w:before="0"/>
            </w:pPr>
            <w:r>
              <w:rPr>
                <w:rFonts w:ascii="Arial" w:cs="Arial" w:eastAsia="Arial" w:hAnsi="Arial"/>
                <w:color w:val="1A1A1A"/>
                <w:sz w:val="20"/>
                <w:szCs w:val="20"/>
              </w:rPr>
              <w:t xml:space="preserve">Rate: 18-45% APR. Term: 6-24 months. Monthly payments. Total repayment amount higher than a bank loan but dramatically more manageable than an MCA at equivalent cost. Early payoff often saves meaningful money.</w:t>
            </w:r>
          </w:p>
          <w:p>
            <w:pPr>
              <w:spacing w:after="60" w:before="0"/>
            </w:pPr>
            <w:r>
              <w:rPr>
                <w:rFonts w:ascii="Arial" w:cs="Arial" w:eastAsia="Arial" w:hAnsi="Arial"/>
                <w:b/>
                <w:bCs/>
                <w:color w:val="8B0000"/>
                <w:sz w:val="16"/>
                <w:szCs w:val="16"/>
              </w:rPr>
              <w:t xml:space="preserve">THE LIE THEY TELL</w:t>
            </w:r>
          </w:p>
          <w:p>
            <w:pPr>
              <w:spacing w:after="120" w:before="0"/>
            </w:pPr>
            <w:r>
              <w:rPr>
                <w:rFonts w:ascii="Arial" w:cs="Arial" w:eastAsia="Arial" w:hAnsi="Arial"/>
                <w:color w:val="1A1A1A"/>
                <w:sz w:val="20"/>
                <w:szCs w:val="20"/>
              </w:rPr>
              <w:t xml:space="preserve">"This is just like a bank loan." A 35% APR is not like a bank loan. It is better than most MCAs. It is not bank financing. Calling it a 'bank-style loan' minimizes the actual cost.</w:t>
            </w:r>
          </w:p>
          <w:p>
            <w:pPr>
              <w:spacing w:after="60" w:before="0"/>
            </w:pPr>
            <w:r>
              <w:rPr>
                <w:rFonts w:ascii="Arial" w:cs="Arial" w:eastAsia="Arial" w:hAnsi="Arial"/>
                <w:b/>
                <w:bCs/>
                <w:color w:val="0D1628"/>
                <w:sz w:val="16"/>
                <w:szCs w:val="16"/>
              </w:rPr>
              <w:t xml:space="preserve">THE QUESTION THEY HOPE YOU NEVER ASK</w:t>
            </w:r>
          </w:p>
          <w:p>
            <w:pPr>
              <w:spacing w:after="120" w:before="0"/>
            </w:pPr>
            <w:r>
              <w:rPr>
                <w:rFonts w:ascii="Arial" w:cs="Arial" w:eastAsia="Arial" w:hAnsi="Arial"/>
                <w:b/>
                <w:bCs/>
                <w:color w:val="1A1A1A"/>
                <w:sz w:val="20"/>
                <w:szCs w:val="20"/>
              </w:rPr>
              <w:t xml:space="preserve">What is the annual percentage rate? Is the interest calculated on a simple interest basis or is it front-loaded? What is the prepayment calculation — how much do I save if I pay off in month 6 vs. month 12?</w:t>
            </w:r>
          </w:p>
          <w:p>
            <w:pPr>
              <w:spacing w:after="60" w:before="0"/>
            </w:pPr>
            <w:r>
              <w:rPr>
                <w:rFonts w:ascii="Arial" w:cs="Arial" w:eastAsia="Arial" w:hAnsi="Arial"/>
                <w:b/>
                <w:bCs/>
                <w:color w:val="C9A843"/>
                <w:sz w:val="16"/>
                <w:szCs w:val="16"/>
              </w:rPr>
              <w:t xml:space="preserve">THE TRUTH</w:t>
            </w:r>
          </w:p>
          <w:p>
            <w:pPr>
              <w:spacing w:after="0" w:before="0"/>
            </w:pPr>
            <w:r>
              <w:rPr>
                <w:rFonts w:ascii="Arial" w:cs="Arial" w:eastAsia="Arial" w:hAnsi="Arial"/>
                <w:i/>
                <w:iCs/>
                <w:color w:val="1A1A1A"/>
                <w:sz w:val="20"/>
                <w:szCs w:val="20"/>
              </w:rPr>
              <w:t xml:space="preserve">If you are currently in an MCA and qualify for a short-term business loan, the transition is almost always worth making. Monthly payments versus daily debits, combined with a clear payoff schedule, gives you control that an MCA does not. This product is often the stepping stone to bank financing.</w:t>
            </w:r>
          </w:p>
        </w:tc>
      </w:tr>
    </w:tbl>
    <w:p>
      <w:pPr>
        <w:pageBreakBefore/>
        <w:spacing w:after="80" w:before="0"/>
      </w:pPr>
      <w:r>
        <w:rPr>
          <w:rFonts w:ascii="Arial" w:cs="Arial" w:eastAsia="Arial" w:hAnsi="Arial"/>
          <w:b/>
          <w:bCs/>
          <w:color w:val="C9A843"/>
          <w:sz w:val="18"/>
          <w:szCs w:val="18"/>
        </w:rPr>
        <w:t xml:space="preserve">THE BOTTOM LINE</w:t>
      </w:r>
    </w:p>
    <w:p>
      <w:pPr>
        <w:spacing w:after="80" w:before="0"/>
      </w:pPr>
      <w:r>
        <w:rPr>
          <w:rFonts w:ascii="Arial" w:cs="Arial" w:eastAsia="Arial" w:hAnsi="Arial"/>
          <w:b/>
          <w:bCs/>
          <w:color w:val="0D1628"/>
          <w:sz w:val="28"/>
          <w:szCs w:val="28"/>
        </w:rPr>
        <w:t xml:space="preserve">Every Product Has Its Place. Most Are Overused.</w:t>
      </w:r>
    </w:p>
    <w:p>
      <w:pPr>
        <w:pBdr>
          <w:bottom w:val="single" w:color="C9A843" w:sz="4"/>
        </w:pBdr>
        <w:spacing w:after="180" w:before="180"/>
      </w:pPr>
    </w:p>
    <w:p>
      <w:pPr>
        <w:spacing w:after="100" w:before="80"/>
        <w:jc w:val="left"/>
      </w:pPr>
      <w:r>
        <w:rPr>
          <w:rFonts w:ascii="Arial" w:cs="Arial" w:eastAsia="Arial" w:hAnsi="Arial"/>
          <w:b w:val="false"/>
          <w:bCs w:val="false"/>
          <w:i w:val="false"/>
          <w:iCs w:val="false"/>
          <w:color w:val="1A1A1A"/>
          <w:sz w:val="22"/>
          <w:szCs w:val="22"/>
        </w:rPr>
        <w:t xml:space="preserve">The funding industry is not populated by villains. Most brokers believe they are providing a service. But a system that compensates brokers based on the products they place — not the outcomes they create — will always produce more MCAs than SBA loans, more factor-rate products than true interest-rate products, and more daily debits than monthly payments.</w:t>
      </w:r>
    </w:p>
    <w:p>
      <w:pPr>
        <w:spacing w:after="100" w:before="80"/>
        <w:jc w:val="left"/>
      </w:pPr>
      <w:r>
        <w:rPr>
          <w:rFonts w:ascii="Arial" w:cs="Arial" w:eastAsia="Arial" w:hAnsi="Arial"/>
          <w:b w:val="false"/>
          <w:bCs w:val="false"/>
          <w:i w:val="false"/>
          <w:iCs w:val="false"/>
          <w:color w:val="1A1A1A"/>
          <w:sz w:val="22"/>
          <w:szCs w:val="22"/>
        </w:rPr>
        <w:t xml:space="preserve">Your job, as a business owner, is to understand the product before you sign it. Ask the question they hope you never ask. Calculate the real cost, not the quoted rate. Demand the APR.</w:t>
      </w:r>
    </w:p>
    <w:p>
      <w:pPr>
        <w:spacing w:after="100" w:before="80"/>
        <w:jc w:val="left"/>
      </w:pPr>
      <w:r>
        <w:rPr>
          <w:rFonts w:ascii="Arial" w:cs="Arial" w:eastAsia="Arial" w:hAnsi="Arial"/>
          <w:b/>
          <w:bCs/>
          <w:i w:val="false"/>
          <w:iCs w:val="false"/>
          <w:color w:val="1A1A1A"/>
          <w:sz w:val="22"/>
          <w:szCs w:val="22"/>
        </w:rPr>
        <w:t xml:space="preserve">If a lender or broker cannot tell you the APR, cannot tell you the total repayment amount, and cannot explain what happens if you miss a payment — you do not have enough information to sign anything.</w:t>
      </w:r>
    </w:p>
    <w:p>
      <w:pPr>
        <w:spacing w:after="0" w:before="120"/>
      </w:pPr>
    </w:p>
    <w:p>
      <w:pPr>
        <w:spacing w:after="100" w:before="280"/>
      </w:pPr>
      <w:r>
        <w:rPr>
          <w:rFonts w:ascii="Arial" w:cs="Arial" w:eastAsia="Arial" w:hAnsi="Arial"/>
          <w:b/>
          <w:bCs/>
          <w:color w:val="0D1628"/>
          <w:sz w:val="28"/>
          <w:szCs w:val="28"/>
        </w:rPr>
        <w:t xml:space="preserve">The Decision Framework</w:t>
      </w:r>
    </w:p>
    <w:p>
      <w:pPr>
        <w:pBdr>
          <w:bottom w:val="single" w:color="C9A843" w:sz="4"/>
        </w:pBdr>
        <w:spacing w:after="180" w:before="180"/>
      </w:pPr>
    </w:p>
    <w:p>
      <w:pPr>
        <w:spacing w:after="100" w:before="80"/>
        <w:jc w:val="left"/>
      </w:pPr>
      <w:r>
        <w:rPr>
          <w:rFonts w:ascii="Arial" w:cs="Arial" w:eastAsia="Arial" w:hAnsi="Arial"/>
          <w:b w:val="false"/>
          <w:bCs w:val="false"/>
          <w:i w:val="false"/>
          <w:iCs w:val="false"/>
          <w:color w:val="1A1A1A"/>
          <w:sz w:val="22"/>
          <w:szCs w:val="22"/>
        </w:rPr>
        <w:t xml:space="preserve">Before accepting any funding offer, answer these four questions:</w:t>
      </w:r>
    </w:p>
    <w:p>
      <w:pPr>
        <w:spacing w:after="0" w:before="40"/>
      </w:pPr>
    </w:p>
    <w:p>
      <w:pPr>
        <w:spacing w:after="60" w:before="60"/>
        <w:ind w:left="480" w:hanging="360"/>
      </w:pPr>
      <w:r>
        <w:rPr>
          <w:rFonts w:ascii="Arial" w:cs="Arial" w:eastAsia="Arial" w:hAnsi="Arial"/>
          <w:b/>
          <w:bCs/>
          <w:color w:val="C9A843"/>
          <w:sz w:val="22"/>
          <w:szCs w:val="22"/>
        </w:rPr>
        <w:t xml:space="preserve">1.  </w:t>
      </w:r>
      <w:r>
        <w:rPr>
          <w:rFonts w:ascii="Arial" w:cs="Arial" w:eastAsia="Arial" w:hAnsi="Arial"/>
          <w:color w:val="1A1A1A"/>
          <w:sz w:val="22"/>
          <w:szCs w:val="22"/>
        </w:rPr>
        <w:t xml:space="preserve">What is the annual percentage rate (APR) — not the factor rate, not the weekly rate, the APR?</w:t>
      </w:r>
    </w:p>
    <w:p>
      <w:pPr>
        <w:spacing w:after="60" w:before="60"/>
        <w:ind w:left="480" w:hanging="360"/>
      </w:pPr>
      <w:r>
        <w:rPr>
          <w:rFonts w:ascii="Arial" w:cs="Arial" w:eastAsia="Arial" w:hAnsi="Arial"/>
          <w:b/>
          <w:bCs/>
          <w:color w:val="C9A843"/>
          <w:sz w:val="22"/>
          <w:szCs w:val="22"/>
        </w:rPr>
        <w:t xml:space="preserve">2.  </w:t>
      </w:r>
      <w:r>
        <w:rPr>
          <w:rFonts w:ascii="Arial" w:cs="Arial" w:eastAsia="Arial" w:hAnsi="Arial"/>
          <w:color w:val="1A1A1A"/>
          <w:sz w:val="22"/>
          <w:szCs w:val="22"/>
        </w:rPr>
        <w:t xml:space="preserve">What is the total repayment amount in dollars if I pay on schedule?</w:t>
      </w:r>
    </w:p>
    <w:p>
      <w:pPr>
        <w:spacing w:after="60" w:before="60"/>
        <w:ind w:left="480" w:hanging="360"/>
      </w:pPr>
      <w:r>
        <w:rPr>
          <w:rFonts w:ascii="Arial" w:cs="Arial" w:eastAsia="Arial" w:hAnsi="Arial"/>
          <w:b/>
          <w:bCs/>
          <w:color w:val="C9A843"/>
          <w:sz w:val="22"/>
          <w:szCs w:val="22"/>
        </w:rPr>
        <w:t xml:space="preserve">3.  </w:t>
      </w:r>
      <w:r>
        <w:rPr>
          <w:rFonts w:ascii="Arial" w:cs="Arial" w:eastAsia="Arial" w:hAnsi="Arial"/>
          <w:color w:val="1A1A1A"/>
          <w:sz w:val="22"/>
          <w:szCs w:val="22"/>
        </w:rPr>
        <w:t xml:space="preserve">Are payments monthly — or daily/weekly?</w:t>
      </w:r>
    </w:p>
    <w:p>
      <w:pPr>
        <w:spacing w:after="60" w:before="60"/>
        <w:ind w:left="480" w:hanging="360"/>
      </w:pPr>
      <w:r>
        <w:rPr>
          <w:rFonts w:ascii="Arial" w:cs="Arial" w:eastAsia="Arial" w:hAnsi="Arial"/>
          <w:b/>
          <w:bCs/>
          <w:color w:val="C9A843"/>
          <w:sz w:val="22"/>
          <w:szCs w:val="22"/>
        </w:rPr>
        <w:t xml:space="preserve">4.  </w:t>
      </w:r>
      <w:r>
        <w:rPr>
          <w:rFonts w:ascii="Arial" w:cs="Arial" w:eastAsia="Arial" w:hAnsi="Arial"/>
          <w:color w:val="1A1A1A"/>
          <w:sz w:val="22"/>
          <w:szCs w:val="22"/>
        </w:rPr>
        <w:t xml:space="preserve">What are the default provisions if I miss one payment?</w:t>
      </w:r>
    </w:p>
    <w:p>
      <w:pPr>
        <w:spacing w:after="0" w:before="80"/>
      </w:pPr>
    </w:p>
    <w:p>
      <w:pPr>
        <w:spacing w:after="100" w:before="80"/>
        <w:jc w:val="left"/>
      </w:pPr>
      <w:r>
        <w:rPr>
          <w:rFonts w:ascii="Arial" w:cs="Arial" w:eastAsia="Arial" w:hAnsi="Arial"/>
          <w:b w:val="false"/>
          <w:bCs w:val="false"/>
          <w:i w:val="false"/>
          <w:iCs w:val="false"/>
          <w:color w:val="1A1A1A"/>
          <w:sz w:val="22"/>
          <w:szCs w:val="22"/>
        </w:rPr>
        <w:t xml:space="preserve">If you cannot answer all four before signing, do not sign.</w:t>
      </w:r>
    </w:p>
    <w:p>
      <w:pPr>
        <w:spacing w:after="0" w:before="200"/>
      </w:pPr>
    </w:p>
    <w:p>
      <w:pPr>
        <w:pBdr>
          <w:bottom w:val="single" w:color="C9A843" w:sz="4"/>
        </w:pBdr>
        <w:spacing w:after="180" w:before="180"/>
      </w:pPr>
    </w:p>
    <w:p>
      <w:pPr>
        <w:spacing w:after="0" w:before="80"/>
      </w:pPr>
    </w:p>
    <w:p>
      <w:pPr>
        <w:spacing w:after="60" w:before="0"/>
        <w:jc w:val="center"/>
      </w:pPr>
      <w:r>
        <w:rPr>
          <w:rFonts w:ascii="Arial" w:cs="Arial" w:eastAsia="Arial" w:hAnsi="Arial"/>
          <w:b/>
          <w:bCs/>
          <w:color w:val="0D1628"/>
          <w:sz w:val="20"/>
          <w:szCs w:val="20"/>
        </w:rPr>
        <w:t xml:space="preserve">Need help finding the right option for your situation?</w:t>
      </w:r>
    </w:p>
    <w:p>
      <w:pPr>
        <w:spacing w:after="60" w:before="0"/>
        <w:jc w:val="center"/>
      </w:pPr>
      <w:r>
        <w:rPr>
          <w:rFonts w:ascii="Arial" w:cs="Arial" w:eastAsia="Arial" w:hAnsi="Arial"/>
          <w:color w:val="666666"/>
          <w:sz w:val="18"/>
          <w:szCs w:val="18"/>
        </w:rPr>
        <w:t xml:space="preserve">Get your free personalized AI Funding Roadmap at TheFundingTruth.com</w:t>
      </w:r>
    </w:p>
    <w:p>
      <w:pPr>
        <w:spacing w:after="60" w:before="0"/>
        <w:jc w:val="center"/>
      </w:pPr>
      <w:r>
        <w:rPr>
          <w:rFonts w:ascii="Arial" w:cs="Arial" w:eastAsia="Arial" w:hAnsi="Arial"/>
          <w:i/>
          <w:iCs/>
          <w:color w:val="666666"/>
          <w:sz w:val="18"/>
          <w:szCs w:val="18"/>
        </w:rPr>
        <w:t xml:space="preserve">Ana compares 80+ funding sources. No commission. No agenda. Available 24/7.</w:t>
      </w:r>
    </w:p>
    <w:p>
      <w:pPr>
        <w:spacing w:after="40" w:before="0"/>
        <w:jc w:val="center"/>
      </w:pPr>
      <w:r>
        <w:rPr>
          <w:rFonts w:ascii="Arial" w:cs="Arial" w:eastAsia="Arial" w:hAnsi="Arial"/>
          <w:color w:val="C9A843"/>
          <w:sz w:val="18"/>
          <w:szCs w:val="18"/>
        </w:rPr>
        <w:t xml:space="preserve">+1 (856) 296-9600  ·  admin@thefundingtruth.com</w:t>
      </w:r>
    </w:p>
    <w:p>
      <w:pPr>
        <w:spacing w:after="0" w:before="0"/>
        <w:jc w:val="center"/>
      </w:pPr>
      <w:r>
        <w:rPr>
          <w:rFonts w:ascii="Arial" w:cs="Arial" w:eastAsia="Arial" w:hAnsi="Arial"/>
          <w:color w:val="666666"/>
          <w:sz w:val="16"/>
          <w:szCs w:val="16"/>
        </w:rPr>
        <w:t xml:space="preserve">© 2026 TheFundingTruth.com  ·  Know Before You Owe™  ·  All rights reserved.</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2026-05-21T11:36:50.849Z</dcterms:created>
  <dcterms:modified xsi:type="dcterms:W3CDTF">2026-05-21T11:36:50.862Z</dcterms:modified>
</cp:coreProperties>
</file>

<file path=docProps/custom.xml><?xml version="1.0" encoding="utf-8"?>
<Properties xmlns="http://schemas.openxmlformats.org/officeDocument/2006/custom-properties" xmlns:vt="http://schemas.openxmlformats.org/officeDocument/2006/docPropsVTypes"/>
</file>